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E85F" w14:textId="2DEB0BD8" w:rsidR="004F65D1" w:rsidRPr="004F65D1" w:rsidRDefault="004F65D1" w:rsidP="004F65D1">
      <w:pPr>
        <w:jc w:val="center"/>
        <w:rPr>
          <w:b/>
          <w:bCs/>
          <w:color w:val="545454"/>
          <w:sz w:val="36"/>
          <w:szCs w:val="36"/>
        </w:rPr>
      </w:pPr>
      <w:r w:rsidRPr="004F65D1">
        <w:rPr>
          <w:b/>
          <w:bCs/>
          <w:sz w:val="36"/>
          <w:szCs w:val="36"/>
        </w:rPr>
        <w:t xml:space="preserve">Low-frequency spin qubit energy splitting noise in highly purified </w:t>
      </w:r>
      <w:r w:rsidRPr="004F65D1">
        <w:rPr>
          <w:b/>
          <w:bCs/>
          <w:sz w:val="36"/>
          <w:szCs w:val="36"/>
          <w:vertAlign w:val="superscript"/>
        </w:rPr>
        <w:t>28</w:t>
      </w:r>
      <w:r w:rsidRPr="004F65D1">
        <w:rPr>
          <w:b/>
          <w:bCs/>
          <w:sz w:val="36"/>
          <w:szCs w:val="36"/>
        </w:rPr>
        <w:t>Si/</w:t>
      </w:r>
      <w:proofErr w:type="spellStart"/>
      <w:r w:rsidRPr="004F65D1">
        <w:rPr>
          <w:b/>
          <w:bCs/>
          <w:sz w:val="36"/>
          <w:szCs w:val="36"/>
        </w:rPr>
        <w:t>SiGe</w:t>
      </w:r>
      <w:proofErr w:type="spellEnd"/>
    </w:p>
    <w:p w14:paraId="58D53965" w14:textId="77777777" w:rsidR="004F65D1" w:rsidRPr="004F65D1" w:rsidRDefault="004F65D1">
      <w:pPr>
        <w:rPr>
          <w:color w:val="545454"/>
        </w:rPr>
      </w:pPr>
    </w:p>
    <w:p w14:paraId="4C012C83" w14:textId="6E873D66" w:rsidR="00782563" w:rsidRPr="004F65D1" w:rsidRDefault="003F3539" w:rsidP="004F65D1">
      <w:pPr>
        <w:jc w:val="center"/>
        <w:rPr>
          <w:b/>
          <w:bCs/>
          <w:lang w:val="de-DE"/>
        </w:rPr>
      </w:pPr>
      <w:r w:rsidRPr="004F65D1">
        <w:rPr>
          <w:b/>
          <w:bCs/>
          <w:lang w:val="de-DE"/>
        </w:rPr>
        <w:t>A. Schmidbauer</w:t>
      </w:r>
      <w:r w:rsidR="004F65D1">
        <w:rPr>
          <w:b/>
          <w:bCs/>
          <w:lang w:val="de-DE"/>
        </w:rPr>
        <w:t xml:space="preserve"> </w:t>
      </w:r>
      <w:r w:rsidRPr="004F65D1">
        <w:rPr>
          <w:b/>
          <w:bCs/>
          <w:vertAlign w:val="superscript"/>
          <w:lang w:val="de-DE"/>
        </w:rPr>
        <w:t>(1)</w:t>
      </w:r>
      <w:r w:rsidRPr="004F65D1">
        <w:rPr>
          <w:b/>
          <w:bCs/>
          <w:lang w:val="de-DE"/>
        </w:rPr>
        <w:t xml:space="preserve">, T. Struck </w:t>
      </w:r>
      <w:r w:rsidRPr="004F65D1">
        <w:rPr>
          <w:b/>
          <w:bCs/>
          <w:vertAlign w:val="superscript"/>
          <w:lang w:val="de-DE"/>
        </w:rPr>
        <w:t>(2)</w:t>
      </w:r>
      <w:r w:rsidRPr="004F65D1">
        <w:rPr>
          <w:b/>
          <w:bCs/>
          <w:lang w:val="de-DE"/>
        </w:rPr>
        <w:t xml:space="preserve">, A. Hollmann </w:t>
      </w:r>
      <w:r w:rsidRPr="004F65D1">
        <w:rPr>
          <w:b/>
          <w:bCs/>
          <w:vertAlign w:val="superscript"/>
          <w:lang w:val="de-DE"/>
        </w:rPr>
        <w:t>(2)</w:t>
      </w:r>
      <w:r w:rsidRPr="004F65D1">
        <w:rPr>
          <w:b/>
          <w:bCs/>
          <w:lang w:val="de-DE"/>
        </w:rPr>
        <w:t xml:space="preserve">, </w:t>
      </w:r>
      <w:r w:rsidR="00427652">
        <w:rPr>
          <w:b/>
          <w:bCs/>
          <w:lang w:val="de-DE"/>
        </w:rPr>
        <w:t xml:space="preserve">L. </w:t>
      </w:r>
      <w:proofErr w:type="spellStart"/>
      <w:r w:rsidR="00427652">
        <w:rPr>
          <w:b/>
          <w:bCs/>
          <w:lang w:val="de-DE"/>
        </w:rPr>
        <w:t>Diebel</w:t>
      </w:r>
      <w:proofErr w:type="spellEnd"/>
      <w:r w:rsidR="00427652">
        <w:rPr>
          <w:b/>
          <w:bCs/>
          <w:lang w:val="de-DE"/>
        </w:rPr>
        <w:t xml:space="preserve"> </w:t>
      </w:r>
      <w:r w:rsidR="00427652" w:rsidRPr="004F65D1">
        <w:rPr>
          <w:b/>
          <w:bCs/>
          <w:vertAlign w:val="superscript"/>
          <w:lang w:val="de-DE"/>
        </w:rPr>
        <w:t>(1)</w:t>
      </w:r>
      <w:r w:rsidR="00427652" w:rsidRPr="004F65D1">
        <w:rPr>
          <w:b/>
          <w:bCs/>
          <w:lang w:val="de-DE"/>
        </w:rPr>
        <w:t>,</w:t>
      </w:r>
      <w:r w:rsidR="00427652">
        <w:rPr>
          <w:b/>
          <w:bCs/>
          <w:lang w:val="de-DE"/>
        </w:rPr>
        <w:t xml:space="preserve"> </w:t>
      </w:r>
      <w:r w:rsidR="00782563" w:rsidRPr="004F65D1">
        <w:rPr>
          <w:b/>
          <w:bCs/>
          <w:lang w:val="de-DE"/>
        </w:rPr>
        <w:t>R. Richter</w:t>
      </w:r>
      <w:r w:rsidRPr="004F65D1">
        <w:rPr>
          <w:b/>
          <w:bCs/>
          <w:lang w:val="de-DE"/>
        </w:rPr>
        <w:t xml:space="preserve"> </w:t>
      </w:r>
      <w:r w:rsidRPr="004F65D1">
        <w:rPr>
          <w:b/>
          <w:bCs/>
          <w:vertAlign w:val="superscript"/>
          <w:lang w:val="de-DE"/>
        </w:rPr>
        <w:t>(1)</w:t>
      </w:r>
      <w:r w:rsidRPr="004F65D1">
        <w:rPr>
          <w:b/>
          <w:bCs/>
          <w:lang w:val="de-DE"/>
        </w:rPr>
        <w:t xml:space="preserve">, </w:t>
      </w:r>
      <w:r w:rsidR="00782563" w:rsidRPr="004F65D1">
        <w:rPr>
          <w:b/>
          <w:bCs/>
          <w:lang w:val="de-DE"/>
        </w:rPr>
        <w:t>M</w:t>
      </w:r>
      <w:r w:rsidRPr="004F65D1">
        <w:rPr>
          <w:b/>
          <w:bCs/>
          <w:lang w:val="de-DE"/>
        </w:rPr>
        <w:t xml:space="preserve">. </w:t>
      </w:r>
      <w:proofErr w:type="spellStart"/>
      <w:r w:rsidR="00782563" w:rsidRPr="004F65D1">
        <w:rPr>
          <w:b/>
          <w:bCs/>
          <w:lang w:val="de-DE"/>
        </w:rPr>
        <w:t>Zoth</w:t>
      </w:r>
      <w:proofErr w:type="spellEnd"/>
      <w:r w:rsidRPr="004F65D1">
        <w:rPr>
          <w:b/>
          <w:bCs/>
          <w:lang w:val="de-DE"/>
        </w:rPr>
        <w:t xml:space="preserve"> </w:t>
      </w:r>
      <w:r w:rsidRPr="004F65D1">
        <w:rPr>
          <w:b/>
          <w:bCs/>
          <w:vertAlign w:val="superscript"/>
          <w:lang w:val="de-DE"/>
        </w:rPr>
        <w:t>(1)</w:t>
      </w:r>
      <w:r w:rsidRPr="004F65D1">
        <w:rPr>
          <w:b/>
          <w:bCs/>
          <w:lang w:val="de-DE"/>
        </w:rPr>
        <w:t xml:space="preserve">, </w:t>
      </w:r>
      <w:r w:rsidR="004F65D1">
        <w:rPr>
          <w:b/>
          <w:bCs/>
          <w:lang w:val="de-DE"/>
        </w:rPr>
        <w:br/>
      </w:r>
      <w:r w:rsidRPr="004F65D1">
        <w:rPr>
          <w:b/>
          <w:bCs/>
          <w:lang w:val="de-DE"/>
        </w:rPr>
        <w:t xml:space="preserve">H. Riemann </w:t>
      </w:r>
      <w:r w:rsidRPr="004F65D1">
        <w:rPr>
          <w:b/>
          <w:bCs/>
          <w:vertAlign w:val="superscript"/>
          <w:lang w:val="de-DE"/>
        </w:rPr>
        <w:t>(3)</w:t>
      </w:r>
      <w:r w:rsidRPr="004F65D1">
        <w:rPr>
          <w:b/>
          <w:bCs/>
          <w:lang w:val="de-DE"/>
        </w:rPr>
        <w:t xml:space="preserve">, N. </w:t>
      </w:r>
      <w:proofErr w:type="spellStart"/>
      <w:r w:rsidRPr="004F65D1">
        <w:rPr>
          <w:b/>
          <w:bCs/>
          <w:lang w:val="de-DE"/>
        </w:rPr>
        <w:t>Abrosimov</w:t>
      </w:r>
      <w:proofErr w:type="spellEnd"/>
      <w:r w:rsidRPr="004F65D1">
        <w:rPr>
          <w:b/>
          <w:bCs/>
          <w:lang w:val="de-DE"/>
        </w:rPr>
        <w:t xml:space="preserve"> </w:t>
      </w:r>
      <w:r w:rsidRPr="004F65D1">
        <w:rPr>
          <w:b/>
          <w:bCs/>
          <w:vertAlign w:val="superscript"/>
          <w:lang w:val="de-DE"/>
        </w:rPr>
        <w:t>(3</w:t>
      </w:r>
      <w:r w:rsidRPr="00C2380A">
        <w:rPr>
          <w:b/>
          <w:bCs/>
          <w:vertAlign w:val="superscript"/>
          <w:lang w:val="de-DE"/>
        </w:rPr>
        <w:t>)</w:t>
      </w:r>
      <w:r w:rsidRPr="004F65D1">
        <w:rPr>
          <w:b/>
          <w:bCs/>
          <w:lang w:val="de-DE"/>
        </w:rPr>
        <w:t>,</w:t>
      </w:r>
      <w:r w:rsidR="00427652">
        <w:rPr>
          <w:b/>
          <w:bCs/>
          <w:lang w:val="de-DE"/>
        </w:rPr>
        <w:t xml:space="preserve"> </w:t>
      </w:r>
      <w:r w:rsidR="00427652" w:rsidRPr="00427652">
        <w:rPr>
          <w:b/>
          <w:bCs/>
          <w:lang w:val="de-DE"/>
        </w:rPr>
        <w:t>Ł</w:t>
      </w:r>
      <w:r w:rsidR="00427652">
        <w:rPr>
          <w:b/>
          <w:bCs/>
          <w:lang w:val="de-DE"/>
        </w:rPr>
        <w:t>.</w:t>
      </w:r>
      <w:r w:rsidR="00427652" w:rsidRPr="00427652">
        <w:rPr>
          <w:b/>
          <w:bCs/>
          <w:lang w:val="de-DE"/>
        </w:rPr>
        <w:t xml:space="preserve"> </w:t>
      </w:r>
      <w:proofErr w:type="spellStart"/>
      <w:r w:rsidR="00427652" w:rsidRPr="00427652">
        <w:rPr>
          <w:b/>
          <w:bCs/>
          <w:lang w:val="de-DE"/>
        </w:rPr>
        <w:t>Cywiński</w:t>
      </w:r>
      <w:proofErr w:type="spellEnd"/>
      <w:r w:rsidR="00C2380A">
        <w:rPr>
          <w:b/>
          <w:bCs/>
          <w:lang w:val="de-DE"/>
        </w:rPr>
        <w:t xml:space="preserve"> </w:t>
      </w:r>
      <w:r w:rsidR="00C2380A" w:rsidRPr="004F65D1">
        <w:rPr>
          <w:b/>
          <w:bCs/>
          <w:vertAlign w:val="superscript"/>
          <w:lang w:val="de-DE"/>
        </w:rPr>
        <w:t>(</w:t>
      </w:r>
      <w:r w:rsidR="00C2380A">
        <w:rPr>
          <w:b/>
          <w:bCs/>
          <w:vertAlign w:val="superscript"/>
          <w:lang w:val="de-DE"/>
        </w:rPr>
        <w:t>4</w:t>
      </w:r>
      <w:r w:rsidR="00C2380A" w:rsidRPr="00C2380A">
        <w:rPr>
          <w:b/>
          <w:bCs/>
          <w:vertAlign w:val="superscript"/>
          <w:lang w:val="de-DE"/>
        </w:rPr>
        <w:t>)</w:t>
      </w:r>
      <w:r w:rsidR="00C2380A" w:rsidRPr="004F65D1">
        <w:rPr>
          <w:b/>
          <w:bCs/>
          <w:lang w:val="de-DE"/>
        </w:rPr>
        <w:t>,</w:t>
      </w:r>
      <w:r w:rsidRPr="004F65D1">
        <w:rPr>
          <w:b/>
          <w:bCs/>
          <w:lang w:val="de-DE"/>
        </w:rPr>
        <w:t xml:space="preserve"> L. Schreiber </w:t>
      </w:r>
      <w:r w:rsidRPr="004F65D1">
        <w:rPr>
          <w:b/>
          <w:bCs/>
          <w:vertAlign w:val="superscript"/>
          <w:lang w:val="de-DE"/>
        </w:rPr>
        <w:t>(2)</w:t>
      </w:r>
      <w:r w:rsidRPr="004F65D1">
        <w:rPr>
          <w:b/>
          <w:bCs/>
          <w:lang w:val="de-DE"/>
        </w:rPr>
        <w:t>, and Dominique Bougeard</w:t>
      </w:r>
      <w:r w:rsidR="00C2380A">
        <w:rPr>
          <w:b/>
          <w:bCs/>
          <w:lang w:val="de-DE"/>
        </w:rPr>
        <w:t xml:space="preserve"> </w:t>
      </w:r>
      <w:r w:rsidR="00C2380A" w:rsidRPr="004F65D1">
        <w:rPr>
          <w:b/>
          <w:bCs/>
          <w:vertAlign w:val="superscript"/>
          <w:lang w:val="de-DE"/>
        </w:rPr>
        <w:t>(1)</w:t>
      </w:r>
      <w:r w:rsidRPr="004F65D1">
        <w:rPr>
          <w:b/>
          <w:bCs/>
          <w:lang w:val="de-DE"/>
        </w:rPr>
        <w:t xml:space="preserve"> </w:t>
      </w:r>
    </w:p>
    <w:p w14:paraId="73A580A2" w14:textId="2E031606" w:rsidR="003F3539" w:rsidRDefault="003F3539" w:rsidP="004F65D1">
      <w:pPr>
        <w:jc w:val="center"/>
        <w:rPr>
          <w:i/>
          <w:iCs/>
          <w:lang w:val="de-DE"/>
        </w:rPr>
      </w:pPr>
      <w:r w:rsidRPr="004F65D1">
        <w:rPr>
          <w:i/>
          <w:iCs/>
          <w:lang w:val="de-DE"/>
        </w:rPr>
        <w:t xml:space="preserve">(1) Institut für Experimentelle und Angewandte Physik, Universität Regensburg, Regensburg, Germany </w:t>
      </w:r>
      <w:r w:rsidR="004F65D1" w:rsidRPr="004F65D1">
        <w:rPr>
          <w:i/>
          <w:iCs/>
          <w:lang w:val="de-DE"/>
        </w:rPr>
        <w:br/>
      </w:r>
      <w:r w:rsidRPr="004F65D1">
        <w:rPr>
          <w:i/>
          <w:iCs/>
          <w:lang w:val="de-DE"/>
        </w:rPr>
        <w:t xml:space="preserve">(2) JARAFIT Institute Quantum Information, Forschungszentrum Jülich GmbH and </w:t>
      </w:r>
      <w:r w:rsidR="005109AB">
        <w:rPr>
          <w:i/>
          <w:iCs/>
          <w:lang w:val="de-DE"/>
        </w:rPr>
        <w:br/>
      </w:r>
      <w:r w:rsidRPr="004F65D1">
        <w:rPr>
          <w:i/>
          <w:iCs/>
          <w:lang w:val="de-DE"/>
        </w:rPr>
        <w:t xml:space="preserve">RWTH Aachen University, Aachen, Germany </w:t>
      </w:r>
      <w:r w:rsidR="004F65D1" w:rsidRPr="004F65D1">
        <w:rPr>
          <w:i/>
          <w:iCs/>
          <w:lang w:val="de-DE"/>
        </w:rPr>
        <w:br/>
      </w:r>
      <w:r w:rsidRPr="004F65D1">
        <w:rPr>
          <w:i/>
          <w:iCs/>
          <w:lang w:val="de-DE"/>
        </w:rPr>
        <w:t>(3) Leibniz-Institut für Kristallzüchtung, Berlin, Germany</w:t>
      </w:r>
      <w:r w:rsidR="00C2380A">
        <w:rPr>
          <w:i/>
          <w:iCs/>
          <w:lang w:val="de-DE"/>
        </w:rPr>
        <w:br/>
      </w:r>
      <w:r w:rsidR="00C2380A" w:rsidRPr="004F65D1">
        <w:rPr>
          <w:i/>
          <w:iCs/>
          <w:lang w:val="de-DE"/>
        </w:rPr>
        <w:t>(</w:t>
      </w:r>
      <w:r w:rsidR="00C2380A">
        <w:rPr>
          <w:i/>
          <w:iCs/>
          <w:lang w:val="de-DE"/>
        </w:rPr>
        <w:t>4</w:t>
      </w:r>
      <w:r w:rsidR="00C2380A" w:rsidRPr="004F65D1">
        <w:rPr>
          <w:i/>
          <w:iCs/>
          <w:lang w:val="de-DE"/>
        </w:rPr>
        <w:t>)</w:t>
      </w:r>
      <w:r w:rsidR="00C2380A">
        <w:rPr>
          <w:i/>
          <w:iCs/>
          <w:lang w:val="de-DE"/>
        </w:rPr>
        <w:t xml:space="preserve"> </w:t>
      </w:r>
      <w:r w:rsidR="00C2380A" w:rsidRPr="00C2380A">
        <w:rPr>
          <w:i/>
          <w:iCs/>
          <w:lang w:val="de-DE"/>
        </w:rPr>
        <w:t xml:space="preserve">Institute </w:t>
      </w:r>
      <w:proofErr w:type="spellStart"/>
      <w:r w:rsidR="00C2380A" w:rsidRPr="00C2380A">
        <w:rPr>
          <w:i/>
          <w:iCs/>
          <w:lang w:val="de-DE"/>
        </w:rPr>
        <w:t>of</w:t>
      </w:r>
      <w:proofErr w:type="spellEnd"/>
      <w:r w:rsidR="00C2380A" w:rsidRPr="00C2380A">
        <w:rPr>
          <w:i/>
          <w:iCs/>
          <w:lang w:val="de-DE"/>
        </w:rPr>
        <w:t xml:space="preserve"> Physics, </w:t>
      </w:r>
      <w:proofErr w:type="spellStart"/>
      <w:r w:rsidR="00C2380A" w:rsidRPr="00C2380A">
        <w:rPr>
          <w:i/>
          <w:iCs/>
          <w:lang w:val="de-DE"/>
        </w:rPr>
        <w:t>Polish</w:t>
      </w:r>
      <w:proofErr w:type="spellEnd"/>
      <w:r w:rsidR="00C2380A" w:rsidRPr="00C2380A">
        <w:rPr>
          <w:i/>
          <w:iCs/>
          <w:lang w:val="de-DE"/>
        </w:rPr>
        <w:t xml:space="preserve"> Academy </w:t>
      </w:r>
      <w:proofErr w:type="spellStart"/>
      <w:r w:rsidR="00C2380A" w:rsidRPr="00C2380A">
        <w:rPr>
          <w:i/>
          <w:iCs/>
          <w:lang w:val="de-DE"/>
        </w:rPr>
        <w:t>of</w:t>
      </w:r>
      <w:proofErr w:type="spellEnd"/>
      <w:r w:rsidR="00C2380A" w:rsidRPr="00C2380A">
        <w:rPr>
          <w:i/>
          <w:iCs/>
          <w:lang w:val="de-DE"/>
        </w:rPr>
        <w:t xml:space="preserve"> Sciences, </w:t>
      </w:r>
      <w:proofErr w:type="spellStart"/>
      <w:r w:rsidR="00C2380A" w:rsidRPr="00C2380A">
        <w:rPr>
          <w:i/>
          <w:iCs/>
          <w:lang w:val="de-DE"/>
        </w:rPr>
        <w:t>Warsaw</w:t>
      </w:r>
      <w:proofErr w:type="spellEnd"/>
      <w:r w:rsidR="00C2380A" w:rsidRPr="00C2380A">
        <w:rPr>
          <w:i/>
          <w:iCs/>
          <w:lang w:val="de-DE"/>
        </w:rPr>
        <w:t xml:space="preserve">, </w:t>
      </w:r>
      <w:proofErr w:type="spellStart"/>
      <w:r w:rsidR="00C2380A" w:rsidRPr="00C2380A">
        <w:rPr>
          <w:i/>
          <w:iCs/>
          <w:lang w:val="de-DE"/>
        </w:rPr>
        <w:t>Poland</w:t>
      </w:r>
      <w:proofErr w:type="spellEnd"/>
    </w:p>
    <w:p w14:paraId="7BA9806F" w14:textId="18759F55" w:rsidR="003F3539" w:rsidRPr="00BF2F44" w:rsidRDefault="003F3539" w:rsidP="00BF2F44">
      <w:pPr>
        <w:spacing w:line="240" w:lineRule="auto"/>
        <w:rPr>
          <w:sz w:val="16"/>
          <w:szCs w:val="16"/>
          <w:lang w:val="de-DE"/>
        </w:rPr>
      </w:pPr>
    </w:p>
    <w:p w14:paraId="30B121B4" w14:textId="2D3CCD30" w:rsidR="00AB0A32" w:rsidRDefault="003F3539" w:rsidP="00C2380A">
      <w:pPr>
        <w:jc w:val="both"/>
      </w:pPr>
      <w:r w:rsidRPr="004F65D1">
        <w:t>Electrostatically</w:t>
      </w:r>
      <w:r w:rsidR="00FF32A3">
        <w:t xml:space="preserve"> </w:t>
      </w:r>
      <w:r w:rsidRPr="004F65D1">
        <w:t xml:space="preserve">defined quantum dots in </w:t>
      </w:r>
      <w:r w:rsidRPr="00C2380A">
        <w:rPr>
          <w:vertAlign w:val="superscript"/>
        </w:rPr>
        <w:t>28</w:t>
      </w:r>
      <w:r w:rsidRPr="004F65D1">
        <w:t>Si/</w:t>
      </w:r>
      <w:proofErr w:type="spellStart"/>
      <w:r w:rsidRPr="004F65D1">
        <w:t>SiGe</w:t>
      </w:r>
      <w:proofErr w:type="spellEnd"/>
      <w:r w:rsidRPr="004F65D1">
        <w:t xml:space="preserve"> heterostructures have been proven to allow the robust implementation of spin qubits </w:t>
      </w:r>
      <w:r w:rsidR="00913F11">
        <w:t>as long as</w:t>
      </w:r>
      <w:r w:rsidR="00913F11" w:rsidRPr="004F65D1">
        <w:t xml:space="preserve"> </w:t>
      </w:r>
      <w:r w:rsidRPr="004F65D1">
        <w:t>the device</w:t>
      </w:r>
      <w:r w:rsidR="00913F11">
        <w:t>-</w:t>
      </w:r>
      <w:r w:rsidRPr="004F65D1">
        <w:t>intrinsic valley</w:t>
      </w:r>
      <w:r w:rsidR="00913F11">
        <w:t xml:space="preserve"> </w:t>
      </w:r>
      <w:r w:rsidRPr="004F65D1">
        <w:t xml:space="preserve">splitting energy is sufficiently large to operate the qubit. Here, we present the characterization of a gate-defined single spin qubit in a quantum dot layout with an integrated nanomagnet. The qubit is hosted in a molecular-beam epitaxy-grown </w:t>
      </w:r>
      <w:r w:rsidRPr="00C2380A">
        <w:rPr>
          <w:vertAlign w:val="superscript"/>
        </w:rPr>
        <w:t>28</w:t>
      </w:r>
      <w:r w:rsidRPr="004F65D1">
        <w:t>Si/</w:t>
      </w:r>
      <w:proofErr w:type="spellStart"/>
      <w:r w:rsidRPr="004F65D1">
        <w:t>SiGe</w:t>
      </w:r>
      <w:proofErr w:type="spellEnd"/>
      <w:r w:rsidRPr="004F65D1">
        <w:t xml:space="preserve"> heterostructure presenting 60 ppm residual </w:t>
      </w:r>
      <w:r w:rsidRPr="00C2380A">
        <w:rPr>
          <w:vertAlign w:val="superscript"/>
        </w:rPr>
        <w:t>29</w:t>
      </w:r>
      <w:proofErr w:type="gramStart"/>
      <w:r w:rsidRPr="004F65D1">
        <w:t>Si</w:t>
      </w:r>
      <w:r w:rsidR="00C74FA6" w:rsidRPr="00C74FA6">
        <w:rPr>
          <w:vertAlign w:val="superscript"/>
        </w:rPr>
        <w:t>[</w:t>
      </w:r>
      <w:proofErr w:type="gramEnd"/>
      <w:r w:rsidR="004578EF">
        <w:rPr>
          <w:vertAlign w:val="superscript"/>
        </w:rPr>
        <w:t>1</w:t>
      </w:r>
      <w:r w:rsidR="00C74FA6" w:rsidRPr="00C74FA6">
        <w:rPr>
          <w:vertAlign w:val="superscript"/>
        </w:rPr>
        <w:t>]</w:t>
      </w:r>
      <w:r w:rsidRPr="004F65D1">
        <w:t xml:space="preserve">. We </w:t>
      </w:r>
      <w:r w:rsidR="00C2380A">
        <w:t>find</w:t>
      </w:r>
      <w:r w:rsidRPr="004F65D1">
        <w:t xml:space="preserve"> a robust valley splitting beyond 200 </w:t>
      </w:r>
      <w:r w:rsidRPr="004F65D1">
        <w:rPr>
          <w:rFonts w:ascii="Cambria Math" w:hAnsi="Cambria Math" w:cs="Cambria Math"/>
        </w:rPr>
        <w:t>𝜇</w:t>
      </w:r>
      <w:r w:rsidRPr="004F65D1">
        <w:t xml:space="preserve">eV and a well separated orbital energy beyond 1 </w:t>
      </w:r>
      <w:proofErr w:type="spellStart"/>
      <w:r w:rsidRPr="004F65D1">
        <w:t>meV</w:t>
      </w:r>
      <w:proofErr w:type="spellEnd"/>
      <w:r w:rsidRPr="004F65D1">
        <w:t>. In the operation window</w:t>
      </w:r>
      <w:r w:rsidR="00913F11">
        <w:t>,</w:t>
      </w:r>
      <w:r w:rsidRPr="004F65D1">
        <w:t xml:space="preserve"> we observe spin relaxation times </w:t>
      </w:r>
      <w:r w:rsidRPr="004F65D1">
        <w:rPr>
          <w:rFonts w:ascii="Cambria Math" w:hAnsi="Cambria Math" w:cs="Cambria Math"/>
        </w:rPr>
        <w:t>𝑇</w:t>
      </w:r>
      <w:r w:rsidRPr="00C2380A">
        <w:rPr>
          <w:vertAlign w:val="subscript"/>
        </w:rPr>
        <w:t>1</w:t>
      </w:r>
      <w:r w:rsidR="00C2380A">
        <w:rPr>
          <w:vertAlign w:val="subscript"/>
        </w:rPr>
        <w:t xml:space="preserve"> </w:t>
      </w:r>
      <w:r w:rsidRPr="004F65D1">
        <w:t>&gt;</w:t>
      </w:r>
      <w:r w:rsidR="00C2380A">
        <w:t xml:space="preserve"> </w:t>
      </w:r>
      <w:r w:rsidRPr="004F65D1">
        <w:t xml:space="preserve">1 s. Using electron dipole spin resonance, the manipulation of the qubit yields </w:t>
      </w:r>
      <w:r w:rsidRPr="004F65D1">
        <w:rPr>
          <w:rFonts w:ascii="Cambria Math" w:hAnsi="Cambria Math" w:cs="Cambria Math"/>
        </w:rPr>
        <w:t>𝑇</w:t>
      </w:r>
      <w:r w:rsidRPr="00C2380A">
        <w:rPr>
          <w:vertAlign w:val="subscript"/>
        </w:rPr>
        <w:t>2</w:t>
      </w:r>
      <w:r w:rsidRPr="00C2380A">
        <w:rPr>
          <w:vertAlign w:val="superscript"/>
        </w:rPr>
        <w:t>*</w:t>
      </w:r>
      <w:r w:rsidR="005109AB">
        <w:rPr>
          <w:rFonts w:ascii="Cambria Math" w:hAnsi="Cambria Math" w:cs="Cambria Math"/>
        </w:rPr>
        <w:t xml:space="preserve"> </w:t>
      </w:r>
      <w:r w:rsidR="005109AB" w:rsidRPr="004F65D1">
        <w:rPr>
          <w:rFonts w:ascii="Cambria Math" w:hAnsi="Cambria Math" w:cs="Cambria Math"/>
        </w:rPr>
        <w:t>∼</w:t>
      </w:r>
      <w:r w:rsidR="005109AB">
        <w:rPr>
          <w:rFonts w:ascii="Cambria Math" w:hAnsi="Cambria Math" w:cs="Cambria Math"/>
        </w:rPr>
        <w:t xml:space="preserve"> </w:t>
      </w:r>
      <w:r w:rsidRPr="004F65D1">
        <w:t xml:space="preserve">20 </w:t>
      </w:r>
      <w:r w:rsidRPr="004F65D1">
        <w:rPr>
          <w:rFonts w:ascii="Cambria Math" w:hAnsi="Cambria Math" w:cs="Cambria Math"/>
        </w:rPr>
        <w:t>𝜇</w:t>
      </w:r>
      <w:r w:rsidRPr="004F65D1">
        <w:t xml:space="preserve">s and </w:t>
      </w:r>
      <w:r w:rsidRPr="004F65D1">
        <w:rPr>
          <w:rFonts w:ascii="Cambria Math" w:hAnsi="Cambria Math" w:cs="Cambria Math"/>
        </w:rPr>
        <w:t>𝑇</w:t>
      </w:r>
      <w:r w:rsidRPr="00C2380A">
        <w:rPr>
          <w:vertAlign w:val="subscript"/>
        </w:rPr>
        <w:t>2</w:t>
      </w:r>
      <w:r w:rsidRPr="00C2380A">
        <w:rPr>
          <w:rFonts w:ascii="Cambria Math" w:hAnsi="Cambria Math" w:cs="Cambria Math"/>
          <w:vertAlign w:val="superscript"/>
        </w:rPr>
        <w:t>𝑒𝑐ℎ𝑜</w:t>
      </w:r>
      <w:r w:rsidR="005109AB">
        <w:t xml:space="preserve"> </w:t>
      </w:r>
      <w:r w:rsidRPr="004F65D1">
        <w:rPr>
          <w:rFonts w:ascii="Cambria Math" w:hAnsi="Cambria Math" w:cs="Cambria Math"/>
        </w:rPr>
        <w:t>∼</w:t>
      </w:r>
      <w:r w:rsidR="005109AB">
        <w:rPr>
          <w:rFonts w:ascii="Cambria Math" w:hAnsi="Cambria Math" w:cs="Cambria Math"/>
        </w:rPr>
        <w:t xml:space="preserve"> </w:t>
      </w:r>
      <w:r w:rsidRPr="004F65D1">
        <w:t xml:space="preserve">127 </w:t>
      </w:r>
      <w:r w:rsidRPr="004F65D1">
        <w:rPr>
          <w:rFonts w:ascii="Cambria Math" w:hAnsi="Cambria Math" w:cs="Cambria Math"/>
        </w:rPr>
        <w:t>𝜇</w:t>
      </w:r>
      <w:proofErr w:type="gramStart"/>
      <w:r w:rsidRPr="004F65D1">
        <w:t>s</w:t>
      </w:r>
      <w:r w:rsidR="00913F11" w:rsidRPr="00C74FA6">
        <w:rPr>
          <w:vertAlign w:val="superscript"/>
        </w:rPr>
        <w:t>[</w:t>
      </w:r>
      <w:proofErr w:type="gramEnd"/>
      <w:r w:rsidR="004578EF">
        <w:rPr>
          <w:vertAlign w:val="superscript"/>
        </w:rPr>
        <w:t>2</w:t>
      </w:r>
      <w:r w:rsidR="00913F11" w:rsidRPr="00C74FA6">
        <w:rPr>
          <w:vertAlign w:val="superscript"/>
        </w:rPr>
        <w:t>]</w:t>
      </w:r>
      <w:r w:rsidRPr="004F65D1">
        <w:t>. We investigate the detuning noise spectrum of the qubit by extracting the resonance frequency from a series of Ramsey-type measurements</w:t>
      </w:r>
      <w:r w:rsidR="00C2380A">
        <w:t xml:space="preserve"> and compare this noise to the noise spectrum of the adjacent sensor dot</w:t>
      </w:r>
      <w:r w:rsidRPr="004F65D1">
        <w:t>.</w:t>
      </w:r>
      <w:r w:rsidR="004F65D1" w:rsidRPr="004F65D1">
        <w:t xml:space="preserve"> We </w:t>
      </w:r>
      <w:r w:rsidR="00913F11">
        <w:t>find</w:t>
      </w:r>
      <w:r w:rsidR="00913F11" w:rsidRPr="004F65D1">
        <w:t xml:space="preserve"> </w:t>
      </w:r>
      <w:r w:rsidR="004F65D1" w:rsidRPr="004F65D1">
        <w:t>charge noise together</w:t>
      </w:r>
      <w:r w:rsidR="00BF2F44">
        <w:t xml:space="preserve"> with the synthetic spin-orbit</w:t>
      </w:r>
      <w:r w:rsidR="004F65D1" w:rsidRPr="004F65D1">
        <w:t xml:space="preserve"> </w:t>
      </w:r>
      <w:r w:rsidR="00BF2F44">
        <w:t>interaction due to the magnetic gradient</w:t>
      </w:r>
      <w:r w:rsidR="004F65D1" w:rsidRPr="004F65D1">
        <w:t xml:space="preserve"> to be the dominant qubit noise source</w:t>
      </w:r>
      <w:r w:rsidR="00C2380A">
        <w:t xml:space="preserve"> </w:t>
      </w:r>
      <w:r w:rsidR="00BF2F44">
        <w:t xml:space="preserve">at frequencies larger than 5 </w:t>
      </w:r>
      <w:proofErr w:type="spellStart"/>
      <w:r w:rsidR="00BF2F44">
        <w:t>mHz</w:t>
      </w:r>
      <w:r w:rsidR="00C2380A">
        <w:t>.</w:t>
      </w:r>
      <w:proofErr w:type="spellEnd"/>
      <w:r w:rsidR="00C2380A">
        <w:t xml:space="preserve"> Given that the </w:t>
      </w:r>
      <w:proofErr w:type="spellStart"/>
      <w:r w:rsidR="00C2380A">
        <w:t>SiGe</w:t>
      </w:r>
      <w:proofErr w:type="spellEnd"/>
      <w:r w:rsidR="00C2380A">
        <w:t xml:space="preserve"> barrier has natural isotope composition, we </w:t>
      </w:r>
      <w:r w:rsidR="00913F11">
        <w:t xml:space="preserve">also </w:t>
      </w:r>
      <w:r w:rsidR="00C2380A">
        <w:t>discuss the impact of the electron wavefunction overlap with the Si/</w:t>
      </w:r>
      <w:proofErr w:type="spellStart"/>
      <w:r w:rsidR="00C2380A">
        <w:t>SiGe</w:t>
      </w:r>
      <w:proofErr w:type="spellEnd"/>
      <w:r w:rsidR="00C2380A">
        <w:t xml:space="preserve"> interface on the qubit </w:t>
      </w:r>
      <w:r w:rsidR="00BF2F44">
        <w:t>dephasing time</w:t>
      </w:r>
      <w:r w:rsidR="00913F11">
        <w:t>.</w:t>
      </w:r>
      <w:r w:rsidR="00C2380A">
        <w:t xml:space="preserve"> </w:t>
      </w:r>
    </w:p>
    <w:p w14:paraId="46C18297" w14:textId="642C79A1" w:rsidR="00195905" w:rsidRDefault="00C74FA6" w:rsidP="00195905">
      <w:pPr>
        <w:pStyle w:val="berschrift5"/>
        <w:rPr>
          <w:b w:val="0"/>
          <w:bCs w:val="0"/>
          <w:noProof/>
          <w:lang w:val="en-US"/>
        </w:rPr>
      </w:pPr>
      <w:r w:rsidRP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>[</w:t>
      </w:r>
      <w:r w:rsidR="00A92440" w:rsidRP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>1</w:t>
      </w:r>
      <w:r w:rsidRP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>]</w:t>
      </w:r>
      <w:r w:rsidR="004261D3" w:rsidRP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 xml:space="preserve"> A. Hollmann</w:t>
      </w:r>
      <w:r w:rsidR="00FF32A3" w:rsidRP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 xml:space="preserve"> et al.</w:t>
      </w:r>
      <w:r w:rsidR="004261D3" w:rsidRP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eastAsia="en-US"/>
        </w:rPr>
        <w:t xml:space="preserve">, Phys. </w:t>
      </w:r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Rev. Applied </w:t>
      </w:r>
      <w:r w:rsidR="004261D3" w:rsidRPr="004261D3">
        <w:rPr>
          <w:rFonts w:asciiTheme="minorHAnsi" w:eastAsiaTheme="minorHAnsi" w:hAnsiTheme="minorHAnsi" w:cstheme="minorBidi"/>
          <w:bCs w:val="0"/>
          <w:sz w:val="18"/>
          <w:szCs w:val="18"/>
          <w:lang w:val="en-US" w:eastAsia="en-US"/>
        </w:rPr>
        <w:t>13</w:t>
      </w:r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, 034068</w:t>
      </w:r>
      <w:r w:rsid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(2020)</w:t>
      </w:r>
      <w:r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br/>
        <w:t>[</w:t>
      </w:r>
      <w:r w:rsidR="00A92440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2</w:t>
      </w:r>
      <w:r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]</w:t>
      </w:r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T. Struck</w:t>
      </w:r>
      <w:r w:rsidR="00FF32A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et al.</w:t>
      </w:r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, </w:t>
      </w:r>
      <w:proofErr w:type="spellStart"/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npj</w:t>
      </w:r>
      <w:proofErr w:type="spellEnd"/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Quantum Inf</w:t>
      </w:r>
      <w:r w:rsidR="00FF32A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.</w:t>
      </w:r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</w:t>
      </w:r>
      <w:r w:rsidR="004261D3" w:rsidRPr="004261D3">
        <w:rPr>
          <w:rFonts w:asciiTheme="minorHAnsi" w:eastAsiaTheme="minorHAnsi" w:hAnsiTheme="minorHAnsi" w:cstheme="minorBidi"/>
          <w:bCs w:val="0"/>
          <w:sz w:val="18"/>
          <w:szCs w:val="18"/>
          <w:lang w:val="en-US" w:eastAsia="en-US"/>
        </w:rPr>
        <w:t>6</w:t>
      </w:r>
      <w:r w:rsidR="004261D3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, 40 (2020</w:t>
      </w:r>
      <w:r w:rsid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)</w:t>
      </w:r>
      <w:r w:rsidR="00195905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br/>
      </w:r>
      <w:r w:rsidR="00A92440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[</w:t>
      </w:r>
      <w:r w:rsidR="00A92440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3</w:t>
      </w:r>
      <w:r w:rsidR="00A92440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] T. Struck</w:t>
      </w:r>
      <w:r w:rsidR="00A92440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et al.</w:t>
      </w:r>
      <w:r w:rsidR="00A92440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, Sci</w:t>
      </w:r>
      <w:r w:rsidR="00A92440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.</w:t>
      </w:r>
      <w:r w:rsidR="00A92440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Rep</w:t>
      </w:r>
      <w:r w:rsidR="00A92440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.</w:t>
      </w:r>
      <w:r w:rsidR="00A92440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 xml:space="preserve"> </w:t>
      </w:r>
      <w:r w:rsidR="00A92440" w:rsidRPr="004261D3">
        <w:rPr>
          <w:rFonts w:asciiTheme="minorHAnsi" w:eastAsiaTheme="minorHAnsi" w:hAnsiTheme="minorHAnsi" w:cstheme="minorBidi"/>
          <w:bCs w:val="0"/>
          <w:sz w:val="18"/>
          <w:szCs w:val="18"/>
          <w:lang w:val="en-US" w:eastAsia="en-US"/>
        </w:rPr>
        <w:t>11</w:t>
      </w:r>
      <w:r w:rsidR="00A92440" w:rsidRPr="004261D3">
        <w:rPr>
          <w:rFonts w:asciiTheme="minorHAnsi" w:eastAsiaTheme="minorHAnsi" w:hAnsiTheme="minorHAnsi" w:cstheme="minorBidi"/>
          <w:b w:val="0"/>
          <w:bCs w:val="0"/>
          <w:sz w:val="18"/>
          <w:szCs w:val="18"/>
          <w:lang w:val="en-US" w:eastAsia="en-US"/>
        </w:rPr>
        <w:t>, 16203 (2021)</w:t>
      </w:r>
      <w:r w:rsidR="00195905" w:rsidRPr="00195905">
        <w:rPr>
          <w:b w:val="0"/>
          <w:bCs w:val="0"/>
          <w:noProof/>
          <w:lang w:val="en-US"/>
        </w:rPr>
        <w:t xml:space="preserve"> </w:t>
      </w:r>
    </w:p>
    <w:p w14:paraId="19430BF4" w14:textId="77777777" w:rsidR="00195905" w:rsidRDefault="00195905" w:rsidP="00195905">
      <w:pPr>
        <w:pStyle w:val="berschrift5"/>
        <w:rPr>
          <w:b w:val="0"/>
          <w:bCs w:val="0"/>
          <w:noProof/>
          <w:lang w:val="en-US"/>
        </w:rPr>
      </w:pPr>
    </w:p>
    <w:p w14:paraId="1705828E" w14:textId="4CB62176" w:rsidR="00195905" w:rsidRDefault="00195905" w:rsidP="00195905">
      <w:pPr>
        <w:pStyle w:val="berschrift5"/>
        <w:jc w:val="center"/>
      </w:pPr>
      <w:r>
        <w:rPr>
          <w:b w:val="0"/>
          <w:bCs w:val="0"/>
          <w:noProof/>
        </w:rPr>
        <w:drawing>
          <wp:inline distT="0" distB="0" distL="0" distR="0" wp14:anchorId="06CE00F7" wp14:editId="11CAA72F">
            <wp:extent cx="4198288" cy="2069057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957" cy="207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0C9E2" w14:textId="379060BB" w:rsidR="00A92440" w:rsidRPr="004261D3" w:rsidRDefault="00195905" w:rsidP="00E873DD">
      <w:pPr>
        <w:pStyle w:val="Beschriftung"/>
        <w:jc w:val="center"/>
      </w:pPr>
      <w:r w:rsidRPr="00EE675F">
        <w:rPr>
          <w:color w:val="auto"/>
        </w:rPr>
        <w:t xml:space="preserve">Figure </w:t>
      </w:r>
      <w:r w:rsidRPr="00EE675F">
        <w:rPr>
          <w:color w:val="auto"/>
        </w:rPr>
        <w:fldChar w:fldCharType="begin"/>
      </w:r>
      <w:r w:rsidRPr="00EE675F">
        <w:rPr>
          <w:color w:val="auto"/>
        </w:rPr>
        <w:instrText xml:space="preserve"> SEQ Figure \* ARABIC </w:instrText>
      </w:r>
      <w:r w:rsidRPr="00EE675F">
        <w:rPr>
          <w:color w:val="auto"/>
        </w:rPr>
        <w:fldChar w:fldCharType="separate"/>
      </w:r>
      <w:r w:rsidRPr="00EE675F">
        <w:rPr>
          <w:noProof/>
          <w:color w:val="auto"/>
        </w:rPr>
        <w:t>1</w:t>
      </w:r>
      <w:r w:rsidRPr="00EE675F">
        <w:rPr>
          <w:color w:val="auto"/>
        </w:rPr>
        <w:fldChar w:fldCharType="end"/>
      </w:r>
      <w:r w:rsidRPr="00EE675F">
        <w:rPr>
          <w:color w:val="auto"/>
        </w:rPr>
        <w:t xml:space="preserve">: </w:t>
      </w:r>
      <w:r>
        <w:rPr>
          <w:color w:val="auto"/>
        </w:rPr>
        <w:t xml:space="preserve">Left: Measurement of the spin-up probability as a function of the evolution time </w:t>
      </w:r>
      <w:proofErr w:type="spellStart"/>
      <w:r>
        <w:rPr>
          <w:color w:val="auto"/>
        </w:rPr>
        <w:t>t</w:t>
      </w:r>
      <w:r w:rsidRPr="00896400">
        <w:rPr>
          <w:color w:val="auto"/>
          <w:vertAlign w:val="subscript"/>
        </w:rPr>
        <w:t>e</w:t>
      </w:r>
      <w:proofErr w:type="spellEnd"/>
      <w:r>
        <w:rPr>
          <w:color w:val="auto"/>
        </w:rPr>
        <w:t xml:space="preserve"> for a Ramsey-fring</w:t>
      </w:r>
      <w:bookmarkStart w:id="0" w:name="_GoBack"/>
      <w:r>
        <w:rPr>
          <w:color w:val="auto"/>
        </w:rPr>
        <w:t>es</w:t>
      </w:r>
      <w:bookmarkEnd w:id="0"/>
      <w:r>
        <w:rPr>
          <w:color w:val="auto"/>
        </w:rPr>
        <w:t xml:space="preserve"> pulse sequence. Each point corresponds to 500 single-shot measurements</w:t>
      </w:r>
      <w:r w:rsidRPr="00195905">
        <w:rPr>
          <w:color w:val="auto"/>
          <w:vertAlign w:val="superscript"/>
        </w:rPr>
        <w:t>[3]</w:t>
      </w:r>
      <w:r>
        <w:rPr>
          <w:color w:val="auto"/>
        </w:rPr>
        <w:t xml:space="preserve">. Right: </w:t>
      </w:r>
      <w:r w:rsidRPr="00105CF6">
        <w:rPr>
          <w:color w:val="auto"/>
        </w:rPr>
        <w:t xml:space="preserve">Spin-up probability as a function of the evolution time </w:t>
      </w:r>
      <w:proofErr w:type="spellStart"/>
      <w:r w:rsidRPr="00105CF6">
        <w:rPr>
          <w:color w:val="auto"/>
        </w:rPr>
        <w:t>t</w:t>
      </w:r>
      <w:r w:rsidRPr="00105CF6">
        <w:rPr>
          <w:color w:val="auto"/>
          <w:vertAlign w:val="subscript"/>
        </w:rPr>
        <w:t>e</w:t>
      </w:r>
      <w:proofErr w:type="spellEnd"/>
      <w:r w:rsidRPr="00105CF6">
        <w:rPr>
          <w:color w:val="auto"/>
        </w:rPr>
        <w:t xml:space="preserve"> after a Hahn-echo gate sequence. The dotted line marks the </w:t>
      </w:r>
      <w:proofErr w:type="gramStart"/>
      <w:r w:rsidRPr="00105CF6">
        <w:rPr>
          <w:color w:val="auto"/>
        </w:rPr>
        <w:t>fitted</w:t>
      </w:r>
      <w:r w:rsidRPr="00105CF6">
        <w:rPr>
          <w:color w:val="auto"/>
          <w:vertAlign w:val="superscript"/>
        </w:rPr>
        <w:t>[</w:t>
      </w:r>
      <w:proofErr w:type="gramEnd"/>
      <w:r>
        <w:rPr>
          <w:color w:val="auto"/>
          <w:vertAlign w:val="superscript"/>
        </w:rPr>
        <w:t>2</w:t>
      </w:r>
      <w:r w:rsidRPr="00105CF6">
        <w:rPr>
          <w:color w:val="auto"/>
          <w:vertAlign w:val="superscript"/>
        </w:rPr>
        <w:t>]</w:t>
      </w:r>
      <w:r w:rsidRPr="00105CF6">
        <w:rPr>
          <w:color w:val="auto"/>
        </w:rPr>
        <w:t xml:space="preserve"> T</w:t>
      </w:r>
      <w:r w:rsidRPr="00105CF6">
        <w:rPr>
          <w:color w:val="auto"/>
          <w:vertAlign w:val="subscript"/>
        </w:rPr>
        <w:t>2</w:t>
      </w:r>
      <w:r w:rsidRPr="00105CF6">
        <w:rPr>
          <w:color w:val="auto"/>
          <w:vertAlign w:val="superscript"/>
        </w:rPr>
        <w:t>echo</w:t>
      </w:r>
      <w:r>
        <w:rPr>
          <w:color w:val="auto"/>
        </w:rPr>
        <w:t>.</w:t>
      </w:r>
    </w:p>
    <w:sectPr w:rsidR="00A92440" w:rsidRPr="004261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39"/>
    <w:rsid w:val="000365D7"/>
    <w:rsid w:val="00066EBC"/>
    <w:rsid w:val="00105CF6"/>
    <w:rsid w:val="00195905"/>
    <w:rsid w:val="003F3539"/>
    <w:rsid w:val="004261D3"/>
    <w:rsid w:val="00427652"/>
    <w:rsid w:val="0043783A"/>
    <w:rsid w:val="004578EF"/>
    <w:rsid w:val="004F65D1"/>
    <w:rsid w:val="005109AB"/>
    <w:rsid w:val="007509A7"/>
    <w:rsid w:val="00782563"/>
    <w:rsid w:val="00896400"/>
    <w:rsid w:val="00913F11"/>
    <w:rsid w:val="00A92440"/>
    <w:rsid w:val="00AB0A32"/>
    <w:rsid w:val="00BF2F44"/>
    <w:rsid w:val="00C2380A"/>
    <w:rsid w:val="00C74FA6"/>
    <w:rsid w:val="00E873DD"/>
    <w:rsid w:val="00EE675F"/>
    <w:rsid w:val="00FE2A53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C714"/>
  <w15:chartTrackingRefBased/>
  <w15:docId w15:val="{45DAE50C-198E-4E38-88C0-EAA448DE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US"/>
    </w:rPr>
  </w:style>
  <w:style w:type="paragraph" w:styleId="berschrift5">
    <w:name w:val="heading 5"/>
    <w:basedOn w:val="Standard"/>
    <w:link w:val="berschrift5Zchn"/>
    <w:uiPriority w:val="9"/>
    <w:qFormat/>
    <w:rsid w:val="004261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EE67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2380A"/>
    <w:pPr>
      <w:ind w:left="720"/>
      <w:contextualSpacing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4261D3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44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Schmidbauer</dc:creator>
  <cp:keywords/>
  <dc:description/>
  <cp:lastModifiedBy>Andreas Schmidbauer</cp:lastModifiedBy>
  <cp:revision>4</cp:revision>
  <dcterms:created xsi:type="dcterms:W3CDTF">2022-05-23T13:59:00Z</dcterms:created>
  <dcterms:modified xsi:type="dcterms:W3CDTF">2022-05-31T07:45:00Z</dcterms:modified>
</cp:coreProperties>
</file>